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5ED4" w14:textId="068A6739" w:rsidR="00752CB5" w:rsidRPr="00C63ED8" w:rsidRDefault="00752CB5" w:rsidP="00752CB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 w:rsidR="00EA03A0">
        <w:rPr>
          <w:rFonts w:ascii="Times New Roman" w:hAnsi="Times New Roman"/>
          <w:color w:val="auto"/>
          <w:sz w:val="24"/>
          <w:szCs w:val="24"/>
        </w:rPr>
        <w:t xml:space="preserve"> СЕТЕВОЙ ОРГАНИЗАЦИИ</w:t>
      </w:r>
    </w:p>
    <w:p w14:paraId="5543ECA4" w14:textId="6E3BA2C5" w:rsidR="00524428" w:rsidRPr="00F72746" w:rsidRDefault="00EA03A0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b/>
          <w:color w:val="548DD4"/>
          <w:sz w:val="24"/>
          <w:szCs w:val="24"/>
        </w:rPr>
        <w:t>составление и предоставление потребителю актов безучетного и бездоговорного потребления электрической энергии</w:t>
      </w:r>
    </w:p>
    <w:p w14:paraId="29DA32B6" w14:textId="77777777" w:rsidR="000653F9" w:rsidRPr="000640A1" w:rsidRDefault="000653F9" w:rsidP="0006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85D5C4A" w14:textId="02798CBB" w:rsidR="00B91DB1" w:rsidRPr="000640A1" w:rsidRDefault="00B91DB1" w:rsidP="00B9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746">
        <w:rPr>
          <w:rFonts w:ascii="Times New Roman" w:hAnsi="Times New Roman"/>
          <w:b/>
          <w:color w:val="548DD4"/>
          <w:sz w:val="24"/>
          <w:szCs w:val="24"/>
        </w:rPr>
        <w:t>КРУГ ЗАЯВИТЕЛЕЙ:</w:t>
      </w:r>
      <w:r>
        <w:rPr>
          <w:rFonts w:ascii="Times New Roman" w:hAnsi="Times New Roman"/>
          <w:b/>
          <w:color w:val="548DD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0640A1">
        <w:rPr>
          <w:rFonts w:ascii="Times New Roman" w:hAnsi="Times New Roman"/>
          <w:sz w:val="24"/>
          <w:szCs w:val="24"/>
        </w:rPr>
        <w:t>ридические и физические лица, индивидуальные предприниматели</w:t>
      </w:r>
      <w:r>
        <w:rPr>
          <w:rFonts w:ascii="Times New Roman" w:hAnsi="Times New Roman"/>
          <w:sz w:val="24"/>
          <w:szCs w:val="24"/>
        </w:rPr>
        <w:t>, энергопринимающие устройства которых присоединены к электрическим сетям АО</w:t>
      </w:r>
      <w:r w:rsidRPr="00146ED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ИЭСК</w:t>
      </w:r>
      <w:r w:rsidRPr="00146EDE">
        <w:rPr>
          <w:rFonts w:ascii="Times New Roman" w:hAnsi="Times New Roman"/>
          <w:sz w:val="24"/>
          <w:szCs w:val="24"/>
        </w:rPr>
        <w:t>»</w:t>
      </w:r>
      <w:r w:rsidRPr="0067450A">
        <w:rPr>
          <w:rFonts w:ascii="Times New Roman" w:hAnsi="Times New Roman"/>
          <w:sz w:val="24"/>
          <w:szCs w:val="24"/>
        </w:rPr>
        <w:t xml:space="preserve"> в установленном порядке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855CA">
        <w:rPr>
          <w:rFonts w:ascii="Times New Roman" w:hAnsi="Times New Roman"/>
          <w:sz w:val="24"/>
          <w:szCs w:val="24"/>
        </w:rPr>
        <w:t xml:space="preserve">заключенный с </w:t>
      </w:r>
      <w:r>
        <w:rPr>
          <w:rFonts w:ascii="Times New Roman" w:hAnsi="Times New Roman"/>
          <w:sz w:val="24"/>
          <w:szCs w:val="24"/>
        </w:rPr>
        <w:t>АО «ИЭСК»</w:t>
      </w:r>
      <w:r w:rsidRPr="001855CA">
        <w:rPr>
          <w:rFonts w:ascii="Times New Roman" w:hAnsi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>
        <w:rPr>
          <w:rFonts w:ascii="Times New Roman" w:hAnsi="Times New Roman"/>
          <w:sz w:val="24"/>
          <w:szCs w:val="24"/>
        </w:rPr>
        <w:t>.</w:t>
      </w:r>
    </w:p>
    <w:p w14:paraId="00D49881" w14:textId="77777777" w:rsidR="00EA03A0" w:rsidRPr="000640A1" w:rsidRDefault="00EA03A0" w:rsidP="00064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4C87D" w14:textId="77777777" w:rsidR="00B91DB1" w:rsidRDefault="00B91DB1" w:rsidP="00B91DB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F72746"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064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89B">
        <w:rPr>
          <w:rFonts w:ascii="Times New Roman" w:hAnsi="Times New Roman" w:cs="Times New Roman"/>
          <w:sz w:val="24"/>
          <w:szCs w:val="24"/>
        </w:rPr>
        <w:t>Объем безучетного потребления электрической энергии, за исключением населения и приравненных к нему категорий потребителей,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89B">
        <w:rPr>
          <w:rFonts w:ascii="Times New Roman" w:hAnsi="Times New Roman" w:cs="Times New Roman"/>
          <w:sz w:val="24"/>
          <w:szCs w:val="24"/>
        </w:rPr>
        <w:t>определяется расчетным способом, предусмотренным подпунктом «а» пункта 1 Приложени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7689B">
        <w:rPr>
          <w:rFonts w:ascii="Times New Roman" w:hAnsi="Times New Roman" w:cs="Times New Roman"/>
          <w:sz w:val="24"/>
          <w:szCs w:val="24"/>
        </w:rPr>
        <w:t>№ 3 к Основным положениям</w:t>
      </w:r>
      <w:r w:rsidRPr="00DA5861">
        <w:rPr>
          <w:rFonts w:ascii="Times New Roman" w:hAnsi="Times New Roman"/>
          <w:sz w:val="24"/>
          <w:szCs w:val="24"/>
        </w:rPr>
        <w:t xml:space="preserve"> </w:t>
      </w:r>
      <w:r w:rsidRPr="00C3211E">
        <w:rPr>
          <w:rFonts w:ascii="Times New Roman" w:hAnsi="Times New Roman"/>
          <w:sz w:val="24"/>
          <w:szCs w:val="24"/>
        </w:rPr>
        <w:t>функционирования розничных рынков электрической энергии</w:t>
      </w:r>
      <w:r w:rsidRPr="00DA5861">
        <w:rPr>
          <w:rFonts w:ascii="Times New Roman" w:hAnsi="Times New Roman" w:cs="Times New Roman"/>
          <w:sz w:val="24"/>
          <w:szCs w:val="24"/>
        </w:rPr>
        <w:t>, утвержденных п</w:t>
      </w:r>
      <w:r w:rsidRPr="00C3211E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C3211E">
        <w:rPr>
          <w:rFonts w:ascii="Times New Roman" w:hAnsi="Times New Roman"/>
          <w:sz w:val="24"/>
          <w:szCs w:val="24"/>
        </w:rPr>
        <w:t xml:space="preserve"> Правительства РФ от 04.05.2012 N 442</w:t>
      </w:r>
      <w:r>
        <w:rPr>
          <w:rFonts w:ascii="Times New Roman" w:hAnsi="Times New Roman"/>
          <w:sz w:val="24"/>
          <w:szCs w:val="24"/>
        </w:rPr>
        <w:t xml:space="preserve"> (далее – Основные положения).</w:t>
      </w:r>
    </w:p>
    <w:p w14:paraId="716C4D95" w14:textId="77777777" w:rsidR="00B91DB1" w:rsidRDefault="00B91DB1" w:rsidP="00B91DB1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безучетного потребления в отношении приравненных к населению категорий потребителей определяется на основании показаний расчетного прибора учета за аналогичный расчетный период предыдущего периода</w:t>
      </w:r>
      <w:r w:rsidRPr="00C321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применением повышающего коэффициента 10, а при отсутствии указанных показаний – на основании показаний прибора учета за ближайший расчетный период, когда такие показания были представлены, с применением повышающего коэффициента 10</w:t>
      </w:r>
      <w:r>
        <w:rPr>
          <w:rStyle w:val="a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14:paraId="62E935CD" w14:textId="77777777" w:rsidR="00B91DB1" w:rsidRDefault="00B91DB1" w:rsidP="00B91D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безучетного потребления д</w:t>
      </w:r>
      <w:r w:rsidRPr="00D7689B">
        <w:rPr>
          <w:rFonts w:ascii="Times New Roman" w:hAnsi="Times New Roman" w:cs="Times New Roman"/>
          <w:sz w:val="24"/>
          <w:szCs w:val="24"/>
        </w:rPr>
        <w:t>ля управляющей организации или товарищества собственников жилья, либо жилищного кооператива или иного специализированного потребительского кооператива объем безучетного потребления электрической энергии определяется в соответствии с Правилами, утвержденными постановлением Правительства РФ от 14.02.2012 № 124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1F03C" w14:textId="77777777" w:rsidR="00B91DB1" w:rsidRDefault="00B91DB1" w:rsidP="00B91D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A2B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безучетного потребления электрической энергии для населения определяется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354.</w:t>
      </w:r>
    </w:p>
    <w:p w14:paraId="562A03D0" w14:textId="77777777" w:rsidR="00B91DB1" w:rsidRPr="000640A1" w:rsidRDefault="00B91DB1" w:rsidP="00B91D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бездоговорного потребления электрической энергии определяется расчетным способом, предусмотренным пунктом 2 Приложения № 3 к </w:t>
      </w:r>
      <w:r w:rsidRPr="008C59B5">
        <w:rPr>
          <w:rFonts w:ascii="Times New Roman" w:hAnsi="Times New Roman" w:cs="Times New Roman"/>
          <w:sz w:val="24"/>
          <w:szCs w:val="24"/>
        </w:rPr>
        <w:t>Основным положениям</w:t>
      </w:r>
      <w:r>
        <w:rPr>
          <w:rFonts w:ascii="Times New Roman" w:hAnsi="Times New Roman" w:cs="Times New Roman"/>
          <w:sz w:val="24"/>
          <w:szCs w:val="24"/>
        </w:rPr>
        <w:t>, за период времени, в течение которого осуществлялось бездоговорное потребление электрической энергии, но не более чем за 1 год</w:t>
      </w:r>
      <w:r>
        <w:rPr>
          <w:rFonts w:ascii="Times New Roman" w:hAnsi="Times New Roman"/>
          <w:sz w:val="24"/>
          <w:szCs w:val="24"/>
        </w:rPr>
        <w:t>.</w:t>
      </w:r>
    </w:p>
    <w:p w14:paraId="4FB55AA6" w14:textId="77777777" w:rsidR="00C3211E" w:rsidRPr="00C3211E" w:rsidRDefault="00C3211E" w:rsidP="00EA03A0">
      <w:pPr>
        <w:pStyle w:val="ConsPlusNonformat"/>
        <w:jc w:val="both"/>
      </w:pPr>
    </w:p>
    <w:p w14:paraId="3622D41F" w14:textId="2D4B1282" w:rsidR="00B91DB1" w:rsidRDefault="00B91DB1" w:rsidP="00B9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746">
        <w:rPr>
          <w:rFonts w:ascii="Times New Roman" w:hAnsi="Times New Roman"/>
          <w:b/>
          <w:color w:val="548DD4"/>
          <w:sz w:val="24"/>
          <w:szCs w:val="24"/>
        </w:rPr>
        <w:t>УСЛОВИЯ ОКАЗАНИЯ УСЛУГИ (ПРОЦЕССА):</w:t>
      </w:r>
      <w:r w:rsidRPr="000640A1">
        <w:rPr>
          <w:rFonts w:ascii="Times New Roman" w:hAnsi="Times New Roman"/>
          <w:sz w:val="24"/>
          <w:szCs w:val="24"/>
        </w:rPr>
        <w:t xml:space="preserve"> процесс производится при условии выявления </w:t>
      </w:r>
      <w:r>
        <w:rPr>
          <w:rFonts w:ascii="Times New Roman" w:hAnsi="Times New Roman"/>
          <w:sz w:val="24"/>
          <w:szCs w:val="24"/>
        </w:rPr>
        <w:t>АО «ИЭСК»</w:t>
      </w:r>
      <w:r w:rsidRPr="00064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факта </w:t>
      </w:r>
      <w:r w:rsidRPr="000640A1">
        <w:rPr>
          <w:rFonts w:ascii="Times New Roman" w:hAnsi="Times New Roman"/>
          <w:sz w:val="24"/>
          <w:szCs w:val="24"/>
        </w:rPr>
        <w:t xml:space="preserve">безучетного или бездоговорного потребления электроэнергии физическим или юридическим лицом, индивидуальным предпринимателем. </w:t>
      </w:r>
    </w:p>
    <w:p w14:paraId="71308126" w14:textId="77777777" w:rsidR="00B91DB1" w:rsidRDefault="00B91DB1" w:rsidP="00B91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безучетным потреблением электрической энергии понимается потребление электрической энергии с нарушением установленного договором энергоснабжения (купли-продажи (поставки) электрической энергии (мощности), оказания услуг по передаче электрической энергии и Основными положениями порядка учета электрической энергии со стороны потребителя, выразившемся во вмешательстве в работу прибора учета, измерительного комплекса, измерительных трансформаторов тока и (или напряжения, соединенных между собой по установленной схеме вторичными цепями, через которые приборы учета установлены (подключены) (далее – измерительные комплексы), системы учета, компонентов интеллектуальной системы учета электрической энергии (мощности), в случаях нарушения целостности </w:t>
      </w:r>
      <w:r>
        <w:rPr>
          <w:rFonts w:ascii="Times New Roman" w:hAnsi="Times New Roman"/>
          <w:sz w:val="24"/>
          <w:szCs w:val="24"/>
        </w:rPr>
        <w:lastRenderedPageBreak/>
        <w:t>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трансформаторы, систему учета, компоненты интеллектуальной системы учета электрической 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приборов учета), когда в соответствии с Основными положениями прибор учета, измерительный 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потребителя (покупателя) и (или) в границах земельного участка, принадлежащего такому потребителю на праве собственности или ином законном основании, на котором расположены энергопринимающие устройства потребителя (далее - границы земельного участка) или, если обязанность по обеспечению целостности и сохранности прибора учета электрической энергии, измерительного комплекса, измерительных трансформаторов (системы учета) возложена на потребителя (покупателя), а также с нарушением указанного порядка, обнаруженным в границах балансовой принадлежности потребителя (покупателя), подключения до точки измерения прибором учета энергопринимающих устройств, расположенных в границах этого земельного участка.</w:t>
      </w:r>
    </w:p>
    <w:p w14:paraId="6CD7917A" w14:textId="77777777" w:rsidR="00B91DB1" w:rsidRDefault="00B91DB1" w:rsidP="00B91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бездоговорным потреблением электрической энергии понимается:</w:t>
      </w:r>
    </w:p>
    <w:p w14:paraId="24F4ED22" w14:textId="77777777" w:rsidR="00B91DB1" w:rsidRPr="00F105A2" w:rsidRDefault="00B91DB1" w:rsidP="00B91DB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105A2">
        <w:rPr>
          <w:rFonts w:ascii="Times New Roman" w:hAnsi="Times New Roman"/>
          <w:sz w:val="24"/>
          <w:szCs w:val="24"/>
        </w:rPr>
        <w:t>самовольное подключение энергопринимающих устройств к объектам электросетевого хозяйства</w:t>
      </w:r>
      <w:r>
        <w:rPr>
          <w:rFonts w:ascii="Times New Roman" w:hAnsi="Times New Roman"/>
          <w:sz w:val="24"/>
          <w:szCs w:val="24"/>
        </w:rPr>
        <w:t>;</w:t>
      </w:r>
    </w:p>
    <w:p w14:paraId="6339F5E9" w14:textId="77777777" w:rsidR="00B91DB1" w:rsidRPr="00F105A2" w:rsidRDefault="00B91DB1" w:rsidP="00B91DB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105A2">
        <w:rPr>
          <w:rFonts w:ascii="Times New Roman" w:hAnsi="Times New Roman"/>
          <w:sz w:val="24"/>
          <w:szCs w:val="24"/>
        </w:rPr>
        <w:t>потребление электрической энергии в отсутствие заключенного в установленном порядке договора, обеспечивающего продажу электрической энергии;</w:t>
      </w:r>
    </w:p>
    <w:p w14:paraId="419BCD34" w14:textId="77777777" w:rsidR="00B91DB1" w:rsidRPr="00F105A2" w:rsidRDefault="00B91DB1" w:rsidP="00B91DB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105A2">
        <w:rPr>
          <w:rFonts w:ascii="Times New Roman" w:hAnsi="Times New Roman"/>
          <w:sz w:val="24"/>
          <w:szCs w:val="24"/>
        </w:rPr>
        <w:t>потребление электрической энергии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5A2">
        <w:rPr>
          <w:rFonts w:ascii="Times New Roman" w:hAnsi="Times New Roman"/>
          <w:sz w:val="24"/>
          <w:szCs w:val="24"/>
        </w:rPr>
        <w:t>в период приостановления поставки электрической энергии по договору, обеспечивающему продажу электрической энергии, в связи с введением полного ограничения режима потребления электрической энергии в случаях, предусмотренных Правилами полного и (или) частичного ограничения режима потребления электрической энергии, утвержденными постановлением Правительства РФ от 04.05.2012 № 442.</w:t>
      </w:r>
    </w:p>
    <w:p w14:paraId="290CAA5D" w14:textId="77777777" w:rsidR="00B91DB1" w:rsidRDefault="00B91DB1" w:rsidP="00B9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111C0A67" w14:textId="3411C704" w:rsidR="00B91DB1" w:rsidRDefault="00B91DB1" w:rsidP="00B9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746">
        <w:rPr>
          <w:rFonts w:ascii="Times New Roman" w:hAnsi="Times New Roman"/>
          <w:b/>
          <w:color w:val="548DD4"/>
          <w:sz w:val="24"/>
          <w:szCs w:val="24"/>
        </w:rPr>
        <w:t>РЕЗУЛЬТАТ ОКАЗАНИЯ УСЛУГИ (ПРОЦЕССА):</w:t>
      </w:r>
      <w:r w:rsidRPr="000640A1">
        <w:rPr>
          <w:rFonts w:ascii="Times New Roman" w:hAnsi="Times New Roman"/>
          <w:sz w:val="24"/>
          <w:szCs w:val="24"/>
        </w:rPr>
        <w:t xml:space="preserve"> составленный надлежащим образом акт</w:t>
      </w:r>
      <w:r>
        <w:rPr>
          <w:rFonts w:ascii="Times New Roman" w:hAnsi="Times New Roman"/>
          <w:sz w:val="24"/>
          <w:szCs w:val="24"/>
        </w:rPr>
        <w:t xml:space="preserve"> о неучтенном потреблении электрической энергии.</w:t>
      </w:r>
    </w:p>
    <w:p w14:paraId="304951ED" w14:textId="77777777" w:rsidR="00B91DB1" w:rsidRPr="000640A1" w:rsidRDefault="00B91DB1" w:rsidP="00B9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7C1F8" w14:textId="77777777" w:rsidR="00B91DB1" w:rsidRPr="00F72746" w:rsidRDefault="00B91DB1" w:rsidP="00B91DB1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24"/>
          <w:szCs w:val="24"/>
        </w:rPr>
      </w:pPr>
      <w:r w:rsidRPr="00F72746">
        <w:rPr>
          <w:rFonts w:ascii="Times New Roman" w:hAnsi="Times New Roman"/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201775DF" w14:textId="324B09D0" w:rsidR="000653F9" w:rsidRPr="00F72746" w:rsidRDefault="000653F9" w:rsidP="000640A1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24"/>
          <w:szCs w:val="24"/>
        </w:rPr>
      </w:pPr>
    </w:p>
    <w:tbl>
      <w:tblPr>
        <w:tblW w:w="4926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42"/>
        <w:gridCol w:w="2843"/>
        <w:gridCol w:w="2410"/>
        <w:gridCol w:w="2693"/>
        <w:gridCol w:w="2834"/>
        <w:gridCol w:w="2834"/>
      </w:tblGrid>
      <w:tr w:rsidR="00206BB0" w:rsidRPr="00F72746" w14:paraId="2656B354" w14:textId="77777777" w:rsidTr="00206BB0">
        <w:trPr>
          <w:tblHeader/>
        </w:trPr>
        <w:tc>
          <w:tcPr>
            <w:tcW w:w="157" w:type="pct"/>
            <w:tcBorders>
              <w:top w:val="single" w:sz="8" w:space="0" w:color="4F81BD"/>
              <w:bottom w:val="double" w:sz="4" w:space="0" w:color="4F81BD"/>
            </w:tcBorders>
            <w:shd w:val="clear" w:color="auto" w:fill="4F81BD"/>
          </w:tcPr>
          <w:p w14:paraId="3F11A422" w14:textId="77777777" w:rsidR="00206BB0" w:rsidRPr="00F72746" w:rsidRDefault="00206BB0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1011" w:type="pct"/>
            <w:tcBorders>
              <w:top w:val="single" w:sz="8" w:space="0" w:color="4F81BD"/>
              <w:left w:val="single" w:sz="8" w:space="0" w:color="4F81BD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14:paraId="22D28811" w14:textId="77777777" w:rsidR="00206BB0" w:rsidRPr="00F72746" w:rsidRDefault="00206BB0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Этап</w:t>
            </w:r>
          </w:p>
        </w:tc>
        <w:tc>
          <w:tcPr>
            <w:tcW w:w="857" w:type="pct"/>
            <w:tcBorders>
              <w:top w:val="single" w:sz="8" w:space="0" w:color="4F81BD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4F81BD"/>
          </w:tcPr>
          <w:p w14:paraId="01BAB43E" w14:textId="586B00C0" w:rsidR="00206BB0" w:rsidRPr="00F72746" w:rsidRDefault="00206BB0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en-US" w:eastAsia="ru-RU"/>
              </w:rPr>
              <w:t>/</w:t>
            </w:r>
            <w:r w:rsidRPr="00F7274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Условие этапа</w:t>
            </w:r>
          </w:p>
        </w:tc>
        <w:tc>
          <w:tcPr>
            <w:tcW w:w="958" w:type="pct"/>
            <w:tcBorders>
              <w:top w:val="single" w:sz="8" w:space="0" w:color="4F81BD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4F81BD"/>
          </w:tcPr>
          <w:p w14:paraId="35F6F7A1" w14:textId="77777777" w:rsidR="00206BB0" w:rsidRPr="00F72746" w:rsidRDefault="00206BB0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Форма предоставления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14:paraId="5E86B2EE" w14:textId="77777777" w:rsidR="00206BB0" w:rsidRPr="00F72746" w:rsidRDefault="00206BB0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Срок исполнения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  <w:shd w:val="clear" w:color="auto" w:fill="4F81BD"/>
          </w:tcPr>
          <w:p w14:paraId="708B2D53" w14:textId="77777777" w:rsidR="00206BB0" w:rsidRPr="00F72746" w:rsidRDefault="00206BB0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Ссылка на нормативно правовой акт</w:t>
            </w:r>
          </w:p>
        </w:tc>
      </w:tr>
      <w:tr w:rsidR="00206BB0" w:rsidRPr="00F72746" w14:paraId="1A86F318" w14:textId="77777777" w:rsidTr="00206BB0">
        <w:tc>
          <w:tcPr>
            <w:tcW w:w="157" w:type="pct"/>
            <w:tcBorders>
              <w:top w:val="double" w:sz="4" w:space="0" w:color="4F81BD"/>
              <w:left w:val="single" w:sz="8" w:space="0" w:color="4F81BD"/>
              <w:bottom w:val="single" w:sz="8" w:space="0" w:color="2E74B5"/>
            </w:tcBorders>
            <w:shd w:val="clear" w:color="auto" w:fill="auto"/>
          </w:tcPr>
          <w:p w14:paraId="672A5FD3" w14:textId="77777777" w:rsidR="00206BB0" w:rsidRPr="00F72746" w:rsidRDefault="00206BB0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  <w:t>1</w:t>
            </w:r>
          </w:p>
        </w:tc>
        <w:tc>
          <w:tcPr>
            <w:tcW w:w="1011" w:type="pct"/>
            <w:tcBorders>
              <w:top w:val="double" w:sz="4" w:space="0" w:color="4F81BD"/>
              <w:left w:val="single" w:sz="8" w:space="0" w:color="4F81BD"/>
              <w:bottom w:val="single" w:sz="8" w:space="0" w:color="2E74B5"/>
              <w:right w:val="single" w:sz="4" w:space="0" w:color="auto"/>
            </w:tcBorders>
            <w:shd w:val="clear" w:color="auto" w:fill="auto"/>
          </w:tcPr>
          <w:p w14:paraId="5FAB1856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Выявление неучтенного (безучетного или бездоговорного) потребления электроэнергии и составление акта о неучтенном потреблении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lastRenderedPageBreak/>
              <w:t>электроэнергии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результатам проверки расчетных приоров учета электрической энергии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DBA4" w14:textId="77777777" w:rsidR="00206BB0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Содержание: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Установление и фиксация факта </w:t>
            </w:r>
            <w:r>
              <w:rPr>
                <w:rFonts w:ascii="Times New Roman" w:eastAsia="Times New Roman" w:hAnsi="Times New Roman"/>
                <w:lang w:eastAsia="ru-RU"/>
              </w:rPr>
              <w:t>без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>уч</w:t>
            </w:r>
            <w:r>
              <w:rPr>
                <w:rFonts w:ascii="Times New Roman" w:eastAsia="Times New Roman" w:hAnsi="Times New Roman"/>
                <w:lang w:eastAsia="ru-RU"/>
              </w:rPr>
              <w:t>етн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ого или бездоговорного потребления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электроэнергии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Условие:</w:t>
            </w:r>
          </w:p>
          <w:p w14:paraId="41D190A8" w14:textId="11765B2F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При проведении </w:t>
            </w:r>
            <w:r>
              <w:rPr>
                <w:rFonts w:ascii="Times New Roman" w:eastAsia="Times New Roman" w:hAnsi="Times New Roman"/>
                <w:lang w:eastAsia="ru-RU"/>
              </w:rPr>
              <w:t>проверки расчетных приборов учета в плановом и внеплановом порядке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3320" w14:textId="77777777" w:rsidR="00206BB0" w:rsidRPr="00F72746" w:rsidRDefault="00206BB0" w:rsidP="0058780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Визуальный осмотр (может осуществляться в виде инструментальной проверки) схемы подключения энергопринимающих устройств (объектов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производству электрической энергии) и схем соединения приборов учета, соответствия приборов учета требованиям Основных положений, проверка состояния приборов учета, наличия и сохранности контрольных пломб и знаков визуального контроля, в том числе соответствия пломб поверителя оттиску в свидетельстве о поверке и (или) записи в паспорте (формуляре) средства измерений, а также снятие показаний прибора учета. </w:t>
            </w:r>
            <w:r w:rsidRPr="001B5FC4">
              <w:rPr>
                <w:rFonts w:ascii="Times New Roman" w:eastAsia="Times New Roman" w:hAnsi="Times New Roman"/>
                <w:lang w:eastAsia="ru-RU"/>
              </w:rPr>
              <w:t xml:space="preserve">В случае </w:t>
            </w:r>
            <w:r w:rsidRPr="001B5FC4">
              <w:rPr>
                <w:rFonts w:ascii="Times New Roman" w:eastAsia="Times New Roman" w:hAnsi="Times New Roman"/>
                <w:lang w:eastAsia="ru-RU"/>
              </w:rPr>
              <w:lastRenderedPageBreak/>
              <w:t>если для проведения проверки приборов учета лицу, проводящему проверку, требуется допуск к энергопринимающим устройствам потребителя, то лицо, проводящее проверку прибора учета, за 5 рабочих дней до планируемой даты проведения проверки уведомляет потребителя о дате и времени проведения такой проверки, а также о последствиях недопуска к расчетным приборам учета.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B5FC4">
              <w:rPr>
                <w:rFonts w:ascii="Times New Roman" w:eastAsia="Times New Roman" w:hAnsi="Times New Roman"/>
                <w:lang w:eastAsia="ru-RU"/>
              </w:rPr>
              <w:t>Сетевая организация передает гарантирующему поставщику, в случае если он не участвовал в проведении проверки, копии актов проверки расчетных приборов учета в течение 3 рабочих дней после их составления.</w:t>
            </w:r>
          </w:p>
        </w:tc>
        <w:tc>
          <w:tcPr>
            <w:tcW w:w="1008" w:type="pct"/>
            <w:tcBorders>
              <w:top w:val="double" w:sz="4" w:space="0" w:color="4F81BD"/>
              <w:left w:val="single" w:sz="4" w:space="0" w:color="auto"/>
              <w:bottom w:val="single" w:sz="8" w:space="0" w:color="2E74B5"/>
              <w:right w:val="single" w:sz="8" w:space="0" w:color="4F81BD"/>
            </w:tcBorders>
            <w:shd w:val="clear" w:color="auto" w:fill="auto"/>
          </w:tcPr>
          <w:p w14:paraId="7CBF37A0" w14:textId="77777777" w:rsidR="00206BB0" w:rsidRPr="00F72746" w:rsidRDefault="00206BB0" w:rsidP="005878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не реже 1 раза в год – для плановых проверок приборов учета; не позднее 3 рабочих дней со дня наступления соответствующих обстоятельств,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перечисленных в п.170 Основных положений</w:t>
            </w:r>
            <w:r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для внеплановой проверки приборов учета.</w:t>
            </w:r>
          </w:p>
        </w:tc>
        <w:tc>
          <w:tcPr>
            <w:tcW w:w="1008" w:type="pct"/>
            <w:tcBorders>
              <w:top w:val="double" w:sz="4" w:space="0" w:color="4F81BD"/>
              <w:bottom w:val="single" w:sz="8" w:space="0" w:color="2E74B5"/>
              <w:right w:val="single" w:sz="8" w:space="0" w:color="4F81BD"/>
            </w:tcBorders>
            <w:shd w:val="clear" w:color="auto" w:fill="auto"/>
          </w:tcPr>
          <w:p w14:paraId="4EC5EFA2" w14:textId="77777777" w:rsidR="00206BB0" w:rsidRPr="00F72746" w:rsidRDefault="00206BB0" w:rsidP="005878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Пункт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170, 171, 172, 173, 174,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76, 177 Основных положений</w:t>
            </w:r>
          </w:p>
        </w:tc>
      </w:tr>
      <w:tr w:rsidR="00206BB0" w:rsidRPr="00F72746" w14:paraId="55CB7962" w14:textId="77777777" w:rsidTr="00206BB0">
        <w:trPr>
          <w:trHeight w:val="86"/>
        </w:trPr>
        <w:tc>
          <w:tcPr>
            <w:tcW w:w="157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4628A002" w14:textId="77777777" w:rsidR="00206BB0" w:rsidRPr="00F72746" w:rsidRDefault="00206BB0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  <w:lastRenderedPageBreak/>
              <w:t>2</w:t>
            </w:r>
          </w:p>
        </w:tc>
        <w:tc>
          <w:tcPr>
            <w:tcW w:w="1011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1F8F40B9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Недопуск потребителем лица проводящего  проверку прибора учета</w:t>
            </w:r>
          </w:p>
        </w:tc>
        <w:tc>
          <w:tcPr>
            <w:tcW w:w="857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55B2C46F" w14:textId="7D22A70F" w:rsidR="00206BB0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Содержание: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C3211E">
              <w:rPr>
                <w:rFonts w:ascii="Times New Roman" w:eastAsia="Times New Roman" w:hAnsi="Times New Roman"/>
                <w:lang w:eastAsia="ru-RU"/>
              </w:rPr>
              <w:t xml:space="preserve">Установление факта недопуска потребителем лица проводящего проверку </w:t>
            </w:r>
            <w:r w:rsidRPr="00C3211E">
              <w:rPr>
                <w:rFonts w:ascii="Times New Roman" w:eastAsia="Times New Roman" w:hAnsi="Times New Roman"/>
                <w:lang w:eastAsia="ru-RU"/>
              </w:rPr>
              <w:lastRenderedPageBreak/>
              <w:t>прибора учета</w:t>
            </w:r>
            <w:r w:rsidRPr="002531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Условие: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53138">
              <w:rPr>
                <w:rFonts w:ascii="Times New Roman" w:eastAsia="Times New Roman" w:hAnsi="Times New Roman"/>
                <w:lang w:eastAsia="ru-RU"/>
              </w:rPr>
              <w:t xml:space="preserve">В случае </w:t>
            </w:r>
            <w:r>
              <w:rPr>
                <w:rFonts w:ascii="Times New Roman" w:eastAsia="Times New Roman" w:hAnsi="Times New Roman"/>
                <w:lang w:eastAsia="ru-RU"/>
              </w:rPr>
              <w:t>если для проведения проверки приборов учета требуется допуск к энергопринимающим устройствам потребителя (объекты по производству электрической энергии, сетевая организация уведомляет потребителя о дате и времени проверки и последствиях недопуска к расчетным приборам учета.</w:t>
            </w:r>
          </w:p>
          <w:p w14:paraId="4626BE40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несогласии с предложенной датой и временем потребитель направляет сетевой организации предложение об иных дате и времени, но не позднее 10 рабочих дней с предложенной даты. В случае </w:t>
            </w:r>
            <w:r w:rsidRPr="00253138">
              <w:rPr>
                <w:rFonts w:ascii="Times New Roman" w:eastAsia="Times New Roman" w:hAnsi="Times New Roman"/>
                <w:lang w:eastAsia="ru-RU"/>
              </w:rPr>
              <w:t xml:space="preserve">недопуска потребителем (производителем электрической энергии (мощности) на </w:t>
            </w:r>
            <w:r w:rsidRPr="00253138">
              <w:rPr>
                <w:rFonts w:ascii="Times New Roman" w:eastAsia="Times New Roman" w:hAnsi="Times New Roman"/>
                <w:lang w:eastAsia="ru-RU"/>
              </w:rPr>
              <w:lastRenderedPageBreak/>
              <w:t>розничном рынке) лица, проводящего проверку прибора учета, к расчетным приборам учета в согласованные дату и время лицо, проводящее проверку, повторно направляет потребителю уведомление с указанием даты и времени проведения проверки расчетных приборов учета, а также информацию о последствиях повторного недопуска к таким приборам учета</w:t>
            </w:r>
            <w:r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4"/>
            </w:r>
          </w:p>
        </w:tc>
        <w:tc>
          <w:tcPr>
            <w:tcW w:w="958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374FA34C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7EB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Акт недопуска оформленный в присутствии двух незаинтересованных свидетелей (оформляется, </w:t>
            </w:r>
            <w:r w:rsidRPr="00EC7EB4">
              <w:rPr>
                <w:rFonts w:ascii="Times New Roman" w:eastAsia="Times New Roman" w:hAnsi="Times New Roman"/>
                <w:lang w:eastAsia="ru-RU"/>
              </w:rPr>
              <w:lastRenderedPageBreak/>
              <w:t>в случае противодействия лица (его представителя) проведению проверки, а также воспрепятствования доступу персонала сетевой организ</w:t>
            </w:r>
            <w:r>
              <w:rPr>
                <w:rFonts w:ascii="Times New Roman" w:eastAsia="Times New Roman" w:hAnsi="Times New Roman"/>
                <w:lang w:eastAsia="ru-RU"/>
              </w:rPr>
              <w:t>ации к проверяемому объекту)</w:t>
            </w:r>
            <w:r w:rsidRPr="00EC7EB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08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0538628B" w14:textId="77777777" w:rsidR="00206BB0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За 5 рабочих дней до даты проведения проверки.</w:t>
            </w:r>
          </w:p>
          <w:p w14:paraId="5F29305B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C3211E">
              <w:rPr>
                <w:rFonts w:ascii="Times New Roman" w:eastAsia="Times New Roman" w:hAnsi="Times New Roman"/>
                <w:lang w:eastAsia="ru-RU"/>
              </w:rPr>
              <w:t xml:space="preserve"> даты 2-го недопуска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C3211E">
              <w:rPr>
                <w:rFonts w:ascii="Times New Roman" w:eastAsia="Times New Roman" w:hAnsi="Times New Roman"/>
                <w:lang w:eastAsia="ru-RU"/>
              </w:rPr>
              <w:t>вплоть до даты допуска к расчетному прибору учета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08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4A31064C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Пункт 174, 182 Основных положений</w:t>
            </w:r>
          </w:p>
        </w:tc>
      </w:tr>
      <w:tr w:rsidR="00206BB0" w:rsidRPr="00F72746" w14:paraId="75DDBD26" w14:textId="77777777" w:rsidTr="00206BB0">
        <w:trPr>
          <w:trHeight w:val="86"/>
        </w:trPr>
        <w:tc>
          <w:tcPr>
            <w:tcW w:w="157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79FC9464" w14:textId="77777777" w:rsidR="00206BB0" w:rsidRPr="00F72746" w:rsidRDefault="00206BB0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  <w:lastRenderedPageBreak/>
              <w:t>3</w:t>
            </w:r>
          </w:p>
        </w:tc>
        <w:tc>
          <w:tcPr>
            <w:tcW w:w="1011" w:type="pct"/>
            <w:tcBorders>
              <w:top w:val="single" w:sz="8" w:space="0" w:color="2E74B5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</w:tcPr>
          <w:p w14:paraId="69D5C0D4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Составление и  предоставление акта 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неучтенном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>потреблении электроэнергии</w:t>
            </w:r>
          </w:p>
        </w:tc>
        <w:tc>
          <w:tcPr>
            <w:tcW w:w="857" w:type="pct"/>
            <w:tcBorders>
              <w:top w:val="single" w:sz="8" w:space="0" w:color="2E74B5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</w:tcPr>
          <w:p w14:paraId="734BB869" w14:textId="5D6FFE1D" w:rsidR="00206BB0" w:rsidRPr="00BB2B87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Содержание: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BB2B87">
              <w:rPr>
                <w:rFonts w:ascii="Times New Roman" w:eastAsia="Times New Roman" w:hAnsi="Times New Roman"/>
                <w:lang w:eastAsia="ru-RU"/>
              </w:rPr>
              <w:t>2.</w:t>
            </w:r>
            <w:r w:rsidRPr="00BB2B87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BB2B87">
              <w:rPr>
                <w:rFonts w:ascii="Times New Roman" w:eastAsia="Times New Roman" w:hAnsi="Times New Roman"/>
                <w:lang w:eastAsia="ru-RU"/>
              </w:rPr>
              <w:t xml:space="preserve"> Составление акта о неучтенном потреблении электрической энергии;</w:t>
            </w:r>
          </w:p>
          <w:p w14:paraId="3AEE7D7F" w14:textId="77777777" w:rsidR="00206BB0" w:rsidRPr="00BB2B87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B2B87">
              <w:rPr>
                <w:rFonts w:ascii="Times New Roman" w:eastAsia="Times New Roman" w:hAnsi="Times New Roman"/>
                <w:lang w:eastAsia="ru-RU"/>
              </w:rPr>
              <w:t>2.2 Направление акта о неучтенном потреблении в адрес:</w:t>
            </w:r>
          </w:p>
          <w:p w14:paraId="6A513399" w14:textId="77777777" w:rsidR="00206BB0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B2B8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гарантирующего поставщика </w:t>
            </w:r>
            <w:r>
              <w:rPr>
                <w:rFonts w:ascii="Times New Roman" w:eastAsia="Times New Roman" w:hAnsi="Times New Roman"/>
                <w:lang w:eastAsia="ru-RU"/>
              </w:rPr>
              <w:t>(энергосбытовой, энергоснабжающей организации), обслуживающего потребителя, допустившего безучетное потребление;</w:t>
            </w:r>
          </w:p>
          <w:p w14:paraId="485372A3" w14:textId="6FE0C591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лица, осуществившего бездоговорное потребление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Ознакомление участников проверки и проверяемого гражданина либо уполномоченного представителя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Условие: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При установлении факта </w:t>
            </w:r>
            <w:r>
              <w:rPr>
                <w:rFonts w:ascii="Times New Roman" w:eastAsia="Times New Roman" w:hAnsi="Times New Roman"/>
                <w:lang w:eastAsia="ru-RU"/>
              </w:rPr>
              <w:t>без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>уч</w:t>
            </w:r>
            <w:r>
              <w:rPr>
                <w:rFonts w:ascii="Times New Roman" w:eastAsia="Times New Roman" w:hAnsi="Times New Roman"/>
                <w:lang w:eastAsia="ru-RU"/>
              </w:rPr>
              <w:t>етного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 или бездоговорного потребления электроэнергии</w:t>
            </w:r>
          </w:p>
        </w:tc>
        <w:tc>
          <w:tcPr>
            <w:tcW w:w="958" w:type="pct"/>
            <w:tcBorders>
              <w:top w:val="single" w:sz="8" w:space="0" w:color="2E74B5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</w:tcPr>
          <w:p w14:paraId="32366469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Акт 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неучтенном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потреблении,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составленный в присутствии лица, осуществившего безучетное потребление (или лица, осуществившего бездоговорное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потребление)</w:t>
            </w:r>
            <w:r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5"/>
            </w:r>
            <w:r>
              <w:rPr>
                <w:rFonts w:ascii="Times New Roman" w:eastAsia="Times New Roman" w:hAnsi="Times New Roman"/>
                <w:lang w:eastAsia="ru-RU"/>
              </w:rPr>
              <w:t>и обслуживающего его гарантирующего поставщика</w:t>
            </w:r>
          </w:p>
          <w:p w14:paraId="6BB6DE11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8" w:type="pct"/>
            <w:tcBorders>
              <w:top w:val="single" w:sz="8" w:space="0" w:color="2E74B5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</w:tcPr>
          <w:p w14:paraId="61722EC8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hAnsi="Times New Roman"/>
              </w:rPr>
              <w:lastRenderedPageBreak/>
              <w:t>Не позднее 3 рабочих дней с даты его составления</w:t>
            </w:r>
            <w:r>
              <w:rPr>
                <w:rFonts w:ascii="Times New Roman" w:hAnsi="Times New Roman"/>
              </w:rPr>
              <w:t xml:space="preserve">, способом, позволяющим подтвердить доставку уведомления или в течение 2 рабочих дней со дня определения в порядке, установленном Основными положениями, цены бездоговорного </w:t>
            </w:r>
            <w:r>
              <w:rPr>
                <w:rFonts w:ascii="Times New Roman" w:hAnsi="Times New Roman"/>
              </w:rPr>
              <w:lastRenderedPageBreak/>
              <w:t>потребления (для случаев выявления факта бездоговорного потребления)</w:t>
            </w:r>
          </w:p>
        </w:tc>
        <w:tc>
          <w:tcPr>
            <w:tcW w:w="1008" w:type="pct"/>
            <w:tcBorders>
              <w:top w:val="single" w:sz="8" w:space="0" w:color="2E74B5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</w:tcPr>
          <w:p w14:paraId="74798B31" w14:textId="77777777" w:rsidR="00206BB0" w:rsidRPr="00F72746" w:rsidRDefault="00206BB0" w:rsidP="0058780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lastRenderedPageBreak/>
              <w:t>Пункт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177, 189 основных положений</w:t>
            </w:r>
          </w:p>
        </w:tc>
      </w:tr>
      <w:tr w:rsidR="00206BB0" w:rsidRPr="00F72746" w14:paraId="6394EC8B" w14:textId="77777777" w:rsidTr="00206BB0">
        <w:trPr>
          <w:trHeight w:val="695"/>
        </w:trPr>
        <w:tc>
          <w:tcPr>
            <w:tcW w:w="157" w:type="pct"/>
            <w:tcBorders>
              <w:top w:val="single" w:sz="8" w:space="0" w:color="2E74B5"/>
              <w:left w:val="single" w:sz="8" w:space="0" w:color="4F81BD"/>
              <w:bottom w:val="single" w:sz="4" w:space="0" w:color="1F4E79" w:themeColor="accent1" w:themeShade="80"/>
              <w:right w:val="single" w:sz="4" w:space="0" w:color="auto"/>
            </w:tcBorders>
            <w:shd w:val="clear" w:color="auto" w:fill="auto"/>
          </w:tcPr>
          <w:p w14:paraId="56AE5FCD" w14:textId="77777777" w:rsidR="00206BB0" w:rsidRPr="00F72746" w:rsidRDefault="00206BB0" w:rsidP="00206B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  <w:t>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2531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>Расчет объема неучтенного (безучетного или бездоговорного) потребления электрической энергии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D452" w14:textId="6E3EB2BB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>Определение объема неучтенного потребления электроэнергии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50E4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Письменное оформление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>риложени</w:t>
            </w:r>
            <w:r>
              <w:rPr>
                <w:rFonts w:ascii="Times New Roman" w:eastAsia="Times New Roman" w:hAnsi="Times New Roman"/>
                <w:lang w:eastAsia="ru-RU"/>
              </w:rPr>
              <w:t>ем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 к акту о неучтенном потреблении электрической энергии – Расчет объема неучтенного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lastRenderedPageBreak/>
              <w:t>(безучетного, бездоговорного) потребления электроэнергии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1306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lastRenderedPageBreak/>
              <w:t>В течение 2 рабочих дней со дня составления акта о неучтенном потреблении электрической энергии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78A3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lang w:eastAsia="ru-RU"/>
              </w:rPr>
              <w:t>179,180,181,185- 187, 189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Основных положений</w:t>
            </w:r>
          </w:p>
        </w:tc>
      </w:tr>
      <w:tr w:rsidR="00206BB0" w:rsidRPr="00F72746" w14:paraId="0DDACF3C" w14:textId="77777777" w:rsidTr="00206BB0">
        <w:trPr>
          <w:trHeight w:val="695"/>
        </w:trPr>
        <w:tc>
          <w:tcPr>
            <w:tcW w:w="157" w:type="pc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auto"/>
            </w:tcBorders>
            <w:shd w:val="clear" w:color="auto" w:fill="auto"/>
          </w:tcPr>
          <w:p w14:paraId="63436D7B" w14:textId="77777777" w:rsidR="00206BB0" w:rsidRPr="00F72746" w:rsidRDefault="00206BB0" w:rsidP="00206B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  <w:t>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F17C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hAnsi="Times New Roman"/>
              </w:rPr>
              <w:t>Оформление сетевой организаци</w:t>
            </w:r>
            <w:r>
              <w:rPr>
                <w:rFonts w:ascii="Times New Roman" w:hAnsi="Times New Roman"/>
              </w:rPr>
              <w:t>ей</w:t>
            </w:r>
            <w:r w:rsidRPr="00F72746">
              <w:rPr>
                <w:rFonts w:ascii="Times New Roman" w:hAnsi="Times New Roman"/>
              </w:rPr>
              <w:t xml:space="preserve"> счета для оплаты стоимости электрической энергии в объеме бездоговорного потребления</w:t>
            </w:r>
            <w:r>
              <w:rPr>
                <w:rStyle w:val="ae"/>
                <w:rFonts w:ascii="Times New Roman" w:hAnsi="Times New Roman"/>
              </w:rPr>
              <w:footnoteReference w:id="6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E7CF" w14:textId="1504B739" w:rsidR="00206BB0" w:rsidRPr="00D7689B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hAnsi="Times New Roman"/>
              </w:rPr>
              <w:t>Оформление сетевой организаци</w:t>
            </w:r>
            <w:r>
              <w:rPr>
                <w:rFonts w:ascii="Times New Roman" w:hAnsi="Times New Roman"/>
              </w:rPr>
              <w:t>ей</w:t>
            </w:r>
            <w:r w:rsidRPr="00F72746">
              <w:rPr>
                <w:rFonts w:ascii="Times New Roman" w:hAnsi="Times New Roman"/>
              </w:rPr>
              <w:t xml:space="preserve"> счета для оплаты стоимости электрической энергии в объеме </w:t>
            </w:r>
            <w:r>
              <w:rPr>
                <w:rFonts w:ascii="Times New Roman" w:hAnsi="Times New Roman"/>
              </w:rPr>
              <w:t>б</w:t>
            </w:r>
            <w:r w:rsidRPr="00F72746">
              <w:rPr>
                <w:rFonts w:ascii="Times New Roman" w:hAnsi="Times New Roman"/>
              </w:rPr>
              <w:t>ездоговорного потребления, который должен содержать расчет стоимости бездоговорного потребления, и направл</w:t>
            </w:r>
            <w:r>
              <w:rPr>
                <w:rFonts w:ascii="Times New Roman" w:hAnsi="Times New Roman"/>
              </w:rPr>
              <w:t>ение</w:t>
            </w:r>
            <w:r w:rsidRPr="00F72746">
              <w:rPr>
                <w:rFonts w:ascii="Times New Roman" w:hAnsi="Times New Roman"/>
              </w:rPr>
              <w:t xml:space="preserve"> его лицу, осуществившему </w:t>
            </w:r>
            <w:r>
              <w:rPr>
                <w:rFonts w:ascii="Times New Roman" w:hAnsi="Times New Roman"/>
              </w:rPr>
              <w:t>б</w:t>
            </w:r>
            <w:r w:rsidRPr="00F72746">
              <w:rPr>
                <w:rFonts w:ascii="Times New Roman" w:hAnsi="Times New Roman"/>
              </w:rPr>
              <w:t>ездоговорное потребление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0E68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Письменное оформление счета </w:t>
            </w:r>
            <w:r w:rsidRPr="00F72746">
              <w:rPr>
                <w:rFonts w:ascii="Times New Roman" w:hAnsi="Times New Roman"/>
              </w:rPr>
              <w:t xml:space="preserve">и направление </w:t>
            </w:r>
            <w:r>
              <w:rPr>
                <w:rFonts w:ascii="Times New Roman" w:hAnsi="Times New Roman"/>
              </w:rPr>
              <w:t xml:space="preserve">потребителю </w:t>
            </w:r>
            <w:r w:rsidRPr="00F72746">
              <w:rPr>
                <w:rFonts w:ascii="Times New Roman" w:hAnsi="Times New Roman"/>
              </w:rPr>
              <w:t>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88B1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759D">
              <w:rPr>
                <w:rFonts w:ascii="Times New Roman" w:eastAsia="Times New Roman" w:hAnsi="Times New Roman"/>
                <w:lang w:eastAsia="ru-RU"/>
              </w:rPr>
              <w:t>В течение 3 рабочих дней со дня составления акта 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неучтенном потреблении</w:t>
            </w:r>
            <w:r w:rsidRPr="00C5759D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lang w:eastAsia="ru-RU"/>
              </w:rPr>
              <w:t>ли</w:t>
            </w:r>
            <w:r w:rsidRPr="00C5759D">
              <w:rPr>
                <w:rFonts w:ascii="Times New Roman" w:eastAsia="Times New Roman" w:hAnsi="Times New Roman"/>
                <w:lang w:eastAsia="ru-RU"/>
              </w:rPr>
              <w:t xml:space="preserve"> в течение 2 рабочих дней со дня определения цены бездоговорного потребления электрической энергии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(для бездоговорного потребления)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D122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Пункты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177, 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89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Основных положений</w:t>
            </w:r>
          </w:p>
        </w:tc>
      </w:tr>
      <w:tr w:rsidR="00206BB0" w:rsidRPr="00F72746" w14:paraId="12C04762" w14:textId="77777777" w:rsidTr="00206BB0">
        <w:trPr>
          <w:trHeight w:val="86"/>
        </w:trPr>
        <w:tc>
          <w:tcPr>
            <w:tcW w:w="157" w:type="pct"/>
            <w:tcBorders>
              <w:top w:val="single" w:sz="4" w:space="0" w:color="1F4E79" w:themeColor="accent1" w:themeShade="80"/>
              <w:right w:val="single" w:sz="4" w:space="0" w:color="auto"/>
            </w:tcBorders>
            <w:shd w:val="clear" w:color="auto" w:fill="auto"/>
          </w:tcPr>
          <w:p w14:paraId="1E4CE805" w14:textId="77777777" w:rsidR="00206BB0" w:rsidRPr="00F72746" w:rsidRDefault="00206BB0" w:rsidP="00206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  <w:t>6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DCA4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Оплата лицом, допустившим </w:t>
            </w:r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>ездоговорное потребление электроэнергии, объема этого потребления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245F" w14:textId="70F5CDEF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Оплата лицом, допустившим </w:t>
            </w:r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Pr="00F72746">
              <w:rPr>
                <w:rFonts w:ascii="Times New Roman" w:eastAsia="Times New Roman" w:hAnsi="Times New Roman"/>
                <w:lang w:eastAsia="ru-RU"/>
              </w:rPr>
              <w:t xml:space="preserve">ездоговорное потребление электроэнергии, </w:t>
            </w:r>
            <w:r w:rsidRPr="00F72746">
              <w:rPr>
                <w:rFonts w:ascii="Times New Roman" w:hAnsi="Times New Roman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E64C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>Оплаченный счет на оплату объема бездоговорного потребления электроэнергии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C321" w14:textId="77777777" w:rsidR="00206BB0" w:rsidRPr="00F72746" w:rsidRDefault="00206BB0" w:rsidP="0020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>10 дней со дня получения счета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для оплаты бездоговорного потребления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BACF" w14:textId="77777777" w:rsidR="00206BB0" w:rsidRPr="00F72746" w:rsidRDefault="00206BB0" w:rsidP="00206B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2746">
              <w:rPr>
                <w:rFonts w:ascii="Times New Roman" w:eastAsia="Times New Roman" w:hAnsi="Times New Roman"/>
                <w:lang w:eastAsia="ru-RU"/>
              </w:rPr>
              <w:t>Пункт</w:t>
            </w:r>
            <w:r>
              <w:rPr>
                <w:rFonts w:ascii="Times New Roman" w:eastAsia="Times New Roman" w:hAnsi="Times New Roman"/>
                <w:lang w:eastAsia="ru-RU"/>
              </w:rPr>
              <w:t>ы 187,  189 Основных положений</w:t>
            </w:r>
          </w:p>
        </w:tc>
      </w:tr>
    </w:tbl>
    <w:p w14:paraId="757F2635" w14:textId="77777777" w:rsidR="00CA183B" w:rsidRPr="00F72746" w:rsidRDefault="00CA183B" w:rsidP="000640A1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24"/>
          <w:szCs w:val="24"/>
        </w:rPr>
      </w:pPr>
    </w:p>
    <w:p w14:paraId="13322682" w14:textId="096DCD09" w:rsidR="000653F9" w:rsidRDefault="000653F9" w:rsidP="000361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14:paraId="2D6B6677" w14:textId="77777777" w:rsidR="00BF3523" w:rsidRDefault="00BF3523" w:rsidP="00BF3523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b/>
          <w:color w:val="548DD4"/>
          <w:sz w:val="24"/>
          <w:szCs w:val="24"/>
        </w:rPr>
      </w:pPr>
      <w:bookmarkStart w:id="0" w:name="_Hlk224302276"/>
      <w:r>
        <w:rPr>
          <w:rFonts w:ascii="Times New Roman" w:hAnsi="Times New Roman"/>
          <w:b/>
          <w:color w:val="548DD4"/>
          <w:sz w:val="24"/>
          <w:szCs w:val="24"/>
        </w:rPr>
        <w:lastRenderedPageBreak/>
        <w:t>КОНТАКТНАЯ ИНФОРМАЦИЯ ДЛЯ НАПРАВЛЕНИЯ ОБРАЩЕНИИЙ:</w:t>
      </w:r>
    </w:p>
    <w:p w14:paraId="0C46B3EF" w14:textId="77777777" w:rsidR="00BF3523" w:rsidRDefault="00BF3523" w:rsidP="00BF3523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энергетический информационно-справочный центр (горячая линия по вопросам электроснабжения) АО «ИЭСК»8-800-100-97-77.</w:t>
      </w:r>
      <w:bookmarkEnd w:id="0"/>
    </w:p>
    <w:p w14:paraId="545F99C0" w14:textId="519EC463" w:rsidR="00B91DB1" w:rsidRPr="003F08E1" w:rsidRDefault="00B91DB1" w:rsidP="000361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sectPr w:rsidR="00B91DB1" w:rsidRPr="003F08E1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CD20" w14:textId="77777777" w:rsidR="005E2DDB" w:rsidRDefault="005E2DDB" w:rsidP="00DC7CA8">
      <w:pPr>
        <w:spacing w:after="0" w:line="240" w:lineRule="auto"/>
      </w:pPr>
      <w:r>
        <w:separator/>
      </w:r>
    </w:p>
  </w:endnote>
  <w:endnote w:type="continuationSeparator" w:id="0">
    <w:p w14:paraId="7ADABEAC" w14:textId="77777777" w:rsidR="005E2DDB" w:rsidRDefault="005E2DDB" w:rsidP="00DC7CA8">
      <w:pPr>
        <w:spacing w:after="0" w:line="240" w:lineRule="auto"/>
      </w:pPr>
      <w:r>
        <w:continuationSeparator/>
      </w:r>
    </w:p>
  </w:endnote>
  <w:endnote w:type="continuationNotice" w:id="1">
    <w:p w14:paraId="70A3424D" w14:textId="77777777" w:rsidR="005E2DDB" w:rsidRDefault="005E2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FC60" w14:textId="77777777" w:rsidR="005E2DDB" w:rsidRDefault="005E2DDB" w:rsidP="00DC7CA8">
      <w:pPr>
        <w:spacing w:after="0" w:line="240" w:lineRule="auto"/>
      </w:pPr>
      <w:r>
        <w:separator/>
      </w:r>
    </w:p>
  </w:footnote>
  <w:footnote w:type="continuationSeparator" w:id="0">
    <w:p w14:paraId="2C57977C" w14:textId="77777777" w:rsidR="005E2DDB" w:rsidRDefault="005E2DDB" w:rsidP="00DC7CA8">
      <w:pPr>
        <w:spacing w:after="0" w:line="240" w:lineRule="auto"/>
      </w:pPr>
      <w:r>
        <w:continuationSeparator/>
      </w:r>
    </w:p>
  </w:footnote>
  <w:footnote w:type="continuationNotice" w:id="1">
    <w:p w14:paraId="43BE402E" w14:textId="77777777" w:rsidR="005E2DDB" w:rsidRDefault="005E2DDB">
      <w:pPr>
        <w:spacing w:after="0" w:line="240" w:lineRule="auto"/>
      </w:pPr>
    </w:p>
  </w:footnote>
  <w:footnote w:id="2">
    <w:p w14:paraId="24E1307C" w14:textId="77777777" w:rsidR="00B91DB1" w:rsidRPr="000C7EFA" w:rsidRDefault="00B91DB1" w:rsidP="00B91DB1">
      <w:pPr>
        <w:pStyle w:val="ac"/>
        <w:rPr>
          <w:rFonts w:ascii="Times New Roman" w:hAnsi="Times New Roman"/>
        </w:rPr>
      </w:pPr>
      <w:r>
        <w:rPr>
          <w:rStyle w:val="ae"/>
        </w:rPr>
        <w:footnoteRef/>
      </w:r>
      <w:r w:rsidRPr="000361BF">
        <w:rPr>
          <w:rFonts w:ascii="Times New Roman" w:hAnsi="Times New Roman"/>
        </w:rPr>
        <w:t xml:space="preserve">согласно </w:t>
      </w:r>
      <w:r w:rsidRPr="000C7EFA">
        <w:rPr>
          <w:rFonts w:ascii="Times New Roman" w:hAnsi="Times New Roman"/>
        </w:rPr>
        <w:t>п. 187 постановлени</w:t>
      </w:r>
      <w:r>
        <w:rPr>
          <w:rFonts w:ascii="Times New Roman" w:hAnsi="Times New Roman"/>
        </w:rPr>
        <w:t>я</w:t>
      </w:r>
      <w:r w:rsidRPr="000C7EFA">
        <w:rPr>
          <w:rFonts w:ascii="Times New Roman" w:hAnsi="Times New Roman"/>
        </w:rPr>
        <w:t xml:space="preserve"> Правительства РФ от 04.05.2012 N 442</w:t>
      </w:r>
    </w:p>
  </w:footnote>
  <w:footnote w:id="3">
    <w:p w14:paraId="572E097C" w14:textId="77777777" w:rsidR="00206BB0" w:rsidRPr="00D7689B" w:rsidRDefault="00206BB0" w:rsidP="00D7689B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D7689B">
        <w:rPr>
          <w:rFonts w:ascii="Times New Roman" w:hAnsi="Times New Roman"/>
        </w:rPr>
        <w:t>Основаниями для внеплановой проверки являются:</w:t>
      </w:r>
    </w:p>
    <w:p w14:paraId="1C2EC98B" w14:textId="77777777" w:rsidR="00206BB0" w:rsidRPr="00D7689B" w:rsidRDefault="00206BB0" w:rsidP="00BB2B87">
      <w:pPr>
        <w:pStyle w:val="ac"/>
        <w:numPr>
          <w:ilvl w:val="0"/>
          <w:numId w:val="3"/>
        </w:numPr>
        <w:ind w:left="0" w:firstLine="360"/>
        <w:jc w:val="both"/>
        <w:rPr>
          <w:rFonts w:ascii="Times New Roman" w:hAnsi="Times New Roman"/>
        </w:rPr>
      </w:pPr>
      <w:r w:rsidRPr="00D7689B">
        <w:rPr>
          <w:rFonts w:ascii="Times New Roman" w:hAnsi="Times New Roman"/>
        </w:rPr>
        <w:t>полученное от гарантирующ</w:t>
      </w:r>
      <w:r w:rsidRPr="002D7008">
        <w:rPr>
          <w:rFonts w:ascii="Times New Roman" w:hAnsi="Times New Roman"/>
        </w:rPr>
        <w:t xml:space="preserve">его поставщика (энергосбытовой, </w:t>
      </w:r>
      <w:r w:rsidRPr="00D7689B">
        <w:rPr>
          <w:rFonts w:ascii="Times New Roman" w:hAnsi="Times New Roman"/>
        </w:rPr>
        <w:t>энергоснабжающей организации) заявление о необходимости проведения внеплановой проверки приборов учета в отношении обслуживаемых им точек поставки, но не более 10 процентов точек поставки планируемых сетевой организацией к проверке в соответствии с планом-графиком в этом же расчетном периоде;</w:t>
      </w:r>
    </w:p>
    <w:p w14:paraId="49F697C3" w14:textId="77777777" w:rsidR="00206BB0" w:rsidRDefault="00206BB0" w:rsidP="00BB2B87">
      <w:pPr>
        <w:pStyle w:val="ac"/>
        <w:numPr>
          <w:ilvl w:val="0"/>
          <w:numId w:val="3"/>
        </w:numPr>
        <w:ind w:left="0" w:firstLine="360"/>
        <w:jc w:val="both"/>
        <w:rPr>
          <w:rFonts w:ascii="Times New Roman" w:hAnsi="Times New Roman"/>
        </w:rPr>
      </w:pPr>
      <w:r w:rsidRPr="00D7689B">
        <w:rPr>
          <w:rFonts w:ascii="Times New Roman" w:hAnsi="Times New Roman"/>
        </w:rPr>
        <w:t xml:space="preserve">полученное от потребителя заявление </w:t>
      </w:r>
      <w:r>
        <w:rPr>
          <w:rFonts w:ascii="Times New Roman" w:hAnsi="Times New Roman"/>
        </w:rPr>
        <w:t>о необходимости проведения внеплановой проверки в отношении его точек поставки;</w:t>
      </w:r>
    </w:p>
    <w:p w14:paraId="1428EB82" w14:textId="77777777" w:rsidR="00206BB0" w:rsidRDefault="00206BB0" w:rsidP="00BB2B87">
      <w:pPr>
        <w:pStyle w:val="ac"/>
        <w:numPr>
          <w:ilvl w:val="0"/>
          <w:numId w:val="3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факта нарушения сохранности контрольных пломб и (или) знаков визуального контроля при проведении снятия показаний или осмотра состояния расчетного прибора учета перед его демонтажом;</w:t>
      </w:r>
    </w:p>
    <w:p w14:paraId="00DFA1A3" w14:textId="77777777" w:rsidR="00206BB0" w:rsidRDefault="00206BB0" w:rsidP="00BB2B87">
      <w:pPr>
        <w:pStyle w:val="ac"/>
        <w:numPr>
          <w:ilvl w:val="0"/>
          <w:numId w:val="3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срабатывание индикаторов вскрытия электронных пломб на корпусе и клеммной крышке приора учета, присоединенного к интеллектуальной системе учета электрической энергии (мощности), и факт события воздействия магнитных полей на элементы прибора учета, присоединенного к интеллектуальной системе учета электрической энергии (мощности) в соответствии с предельными значениями, определенными правилами предоставления доступа к минимальному набору функций интеллектуальных систем учета электрической энергии (мощности),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учета, присоединенного к интеллектуальной системе учета электрической энергии (мощности) в течение одного месяца;</w:t>
      </w:r>
    </w:p>
    <w:p w14:paraId="1E48A1AA" w14:textId="77777777" w:rsidR="00206BB0" w:rsidRPr="00D7689B" w:rsidRDefault="00206BB0" w:rsidP="00BB2B87">
      <w:pPr>
        <w:pStyle w:val="ac"/>
        <w:numPr>
          <w:ilvl w:val="0"/>
          <w:numId w:val="3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показаний расчетного прибора учета 2 и более расчетных периода подряд.</w:t>
      </w:r>
    </w:p>
  </w:footnote>
  <w:footnote w:id="4">
    <w:p w14:paraId="636EBA1E" w14:textId="77777777" w:rsidR="00206BB0" w:rsidRDefault="00206BB0" w:rsidP="00D7689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EC7EB4">
        <w:rPr>
          <w:rFonts w:ascii="Times New Roman" w:eastAsia="Times New Roman" w:hAnsi="Times New Roman"/>
          <w:lang w:eastAsia="ru-RU"/>
        </w:rPr>
        <w:t>В случае двукратного недопуска к расчетному прибору учета, установленному в границах энергопринимающих устройств потребителя, в том числе в отношении точек поставки для лиц, опосредованно присоединенных через объекты такого потребителя электрической энергии, для проведения контрольного снятия показаний и (или) для проведения проверки приборов учета объем потребления и оказанных услуг по передаче электрической энергии с даты 2-го недопуска вплоть до даты допуска к расчетному прибору учета определяется исходя из увеличенных в 1,5 раза значений, определенных на основании контрольного прибора учета, а при его отсутствии - исходя из увеличенных в 1,5 раза значений, определенных на основании замещающей информации</w:t>
      </w:r>
      <w:r>
        <w:rPr>
          <w:rFonts w:ascii="Times New Roman" w:eastAsia="Times New Roman" w:hAnsi="Times New Roman"/>
          <w:lang w:eastAsia="ru-RU"/>
        </w:rPr>
        <w:t xml:space="preserve"> (согласно пункту 182 Основных положений).</w:t>
      </w:r>
    </w:p>
  </w:footnote>
  <w:footnote w:id="5">
    <w:p w14:paraId="29E7018E" w14:textId="77777777" w:rsidR="00206BB0" w:rsidRPr="00D7689B" w:rsidRDefault="00206BB0">
      <w:pPr>
        <w:pStyle w:val="ac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D7689B">
        <w:rPr>
          <w:rFonts w:ascii="Times New Roman" w:hAnsi="Times New Roman"/>
        </w:rPr>
        <w:t>При отсутствии названных лиц акт составляется с использованием средств фотосъемки и (или) видеозаписи, которые подлежат хранению и передаются вместе с актом о неучтенном потреблении.</w:t>
      </w:r>
      <w:r>
        <w:rPr>
          <w:rFonts w:ascii="Times New Roman" w:hAnsi="Times New Roman"/>
        </w:rPr>
        <w:t xml:space="preserve"> Отказ от подписания акта фиксируется в нем с указанием причин отказа.</w:t>
      </w:r>
    </w:p>
  </w:footnote>
  <w:footnote w:id="6">
    <w:p w14:paraId="1E336EEB" w14:textId="77777777" w:rsidR="00206BB0" w:rsidRPr="00502C94" w:rsidRDefault="00206BB0">
      <w:pPr>
        <w:pStyle w:val="ac"/>
        <w:rPr>
          <w:rFonts w:ascii="Times New Roman" w:hAnsi="Times New Roman"/>
        </w:rPr>
      </w:pPr>
      <w:r w:rsidRPr="00502C94">
        <w:rPr>
          <w:rStyle w:val="ae"/>
          <w:rFonts w:ascii="Times New Roman" w:hAnsi="Times New Roman"/>
        </w:rPr>
        <w:footnoteRef/>
      </w:r>
      <w:r w:rsidRPr="00502C94">
        <w:rPr>
          <w:rFonts w:ascii="Times New Roman" w:hAnsi="Times New Roman"/>
        </w:rPr>
        <w:t xml:space="preserve"> Стоимость безучетного потребления включается гарантирующим поставщиком в выставляемый потребителю счет на оплату стоимости электрической энергии, приобретенной по договору, обеспечивающему продажу электрической энергии. Потребитель (покупатель) обязан оплатить указанный счет в срок, определенный в договоре, обеспечивающем продажу электрической энергии.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43FF5AD8"/>
    <w:multiLevelType w:val="hybridMultilevel"/>
    <w:tmpl w:val="AFBE8260"/>
    <w:lvl w:ilvl="0" w:tplc="442CC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405DA"/>
    <w:multiLevelType w:val="hybridMultilevel"/>
    <w:tmpl w:val="68CE226E"/>
    <w:lvl w:ilvl="0" w:tplc="442CC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5FFC"/>
    <w:rsid w:val="00021963"/>
    <w:rsid w:val="00022F24"/>
    <w:rsid w:val="0002598C"/>
    <w:rsid w:val="00026177"/>
    <w:rsid w:val="000361BF"/>
    <w:rsid w:val="00047F3B"/>
    <w:rsid w:val="000640A1"/>
    <w:rsid w:val="000653F9"/>
    <w:rsid w:val="00073565"/>
    <w:rsid w:val="00080C9C"/>
    <w:rsid w:val="000B1A8B"/>
    <w:rsid w:val="000B5433"/>
    <w:rsid w:val="000C54DB"/>
    <w:rsid w:val="000C7EFA"/>
    <w:rsid w:val="000D0D64"/>
    <w:rsid w:val="000E0870"/>
    <w:rsid w:val="000E710C"/>
    <w:rsid w:val="001452AF"/>
    <w:rsid w:val="00146EDE"/>
    <w:rsid w:val="00166D9F"/>
    <w:rsid w:val="001730A2"/>
    <w:rsid w:val="00182892"/>
    <w:rsid w:val="00187BF5"/>
    <w:rsid w:val="0019014D"/>
    <w:rsid w:val="001B3F42"/>
    <w:rsid w:val="001B5FC4"/>
    <w:rsid w:val="001D45A0"/>
    <w:rsid w:val="00206BB0"/>
    <w:rsid w:val="00206CD3"/>
    <w:rsid w:val="0022778E"/>
    <w:rsid w:val="00231805"/>
    <w:rsid w:val="00233155"/>
    <w:rsid w:val="00242530"/>
    <w:rsid w:val="00251BEC"/>
    <w:rsid w:val="00253138"/>
    <w:rsid w:val="002703AA"/>
    <w:rsid w:val="002963F2"/>
    <w:rsid w:val="002978AF"/>
    <w:rsid w:val="002A3BA1"/>
    <w:rsid w:val="002C24EC"/>
    <w:rsid w:val="002D1BF6"/>
    <w:rsid w:val="002D7008"/>
    <w:rsid w:val="002E5C9B"/>
    <w:rsid w:val="002E6B37"/>
    <w:rsid w:val="0032200A"/>
    <w:rsid w:val="0032230E"/>
    <w:rsid w:val="00326913"/>
    <w:rsid w:val="00341DB4"/>
    <w:rsid w:val="00347A15"/>
    <w:rsid w:val="003A6292"/>
    <w:rsid w:val="003B555E"/>
    <w:rsid w:val="003B6F93"/>
    <w:rsid w:val="003C556E"/>
    <w:rsid w:val="003D4D3D"/>
    <w:rsid w:val="003E66AA"/>
    <w:rsid w:val="003F08E1"/>
    <w:rsid w:val="003F39CA"/>
    <w:rsid w:val="003F5301"/>
    <w:rsid w:val="00401788"/>
    <w:rsid w:val="00405B1D"/>
    <w:rsid w:val="00405E12"/>
    <w:rsid w:val="004159ED"/>
    <w:rsid w:val="00420452"/>
    <w:rsid w:val="004245B7"/>
    <w:rsid w:val="00442712"/>
    <w:rsid w:val="00443775"/>
    <w:rsid w:val="00457441"/>
    <w:rsid w:val="004760B3"/>
    <w:rsid w:val="004A06C6"/>
    <w:rsid w:val="004A4D60"/>
    <w:rsid w:val="004B1C31"/>
    <w:rsid w:val="004B293F"/>
    <w:rsid w:val="004B308D"/>
    <w:rsid w:val="004B3BB8"/>
    <w:rsid w:val="004C3A2B"/>
    <w:rsid w:val="004D2FC8"/>
    <w:rsid w:val="004F736B"/>
    <w:rsid w:val="00502C94"/>
    <w:rsid w:val="0051045A"/>
    <w:rsid w:val="0051352D"/>
    <w:rsid w:val="00524428"/>
    <w:rsid w:val="00534E9A"/>
    <w:rsid w:val="00543E7A"/>
    <w:rsid w:val="00553B29"/>
    <w:rsid w:val="00557796"/>
    <w:rsid w:val="00561FC9"/>
    <w:rsid w:val="005650C9"/>
    <w:rsid w:val="00584BD8"/>
    <w:rsid w:val="0058780E"/>
    <w:rsid w:val="00587CD6"/>
    <w:rsid w:val="005A7CCB"/>
    <w:rsid w:val="005B627E"/>
    <w:rsid w:val="005C22A7"/>
    <w:rsid w:val="005D55E8"/>
    <w:rsid w:val="005E2DDB"/>
    <w:rsid w:val="005E44B4"/>
    <w:rsid w:val="005E5AAE"/>
    <w:rsid w:val="00614532"/>
    <w:rsid w:val="00620C3D"/>
    <w:rsid w:val="0062274D"/>
    <w:rsid w:val="006337AB"/>
    <w:rsid w:val="00640439"/>
    <w:rsid w:val="0065173C"/>
    <w:rsid w:val="00666E7C"/>
    <w:rsid w:val="00673448"/>
    <w:rsid w:val="00675DBB"/>
    <w:rsid w:val="00677F5A"/>
    <w:rsid w:val="006833D8"/>
    <w:rsid w:val="00690D12"/>
    <w:rsid w:val="006A3ACA"/>
    <w:rsid w:val="006A5094"/>
    <w:rsid w:val="006D232F"/>
    <w:rsid w:val="006D2EDE"/>
    <w:rsid w:val="006E75E3"/>
    <w:rsid w:val="006F2514"/>
    <w:rsid w:val="006F446F"/>
    <w:rsid w:val="007161C1"/>
    <w:rsid w:val="00752CB5"/>
    <w:rsid w:val="00756CEC"/>
    <w:rsid w:val="0076051F"/>
    <w:rsid w:val="00762B2B"/>
    <w:rsid w:val="007647AA"/>
    <w:rsid w:val="00776C32"/>
    <w:rsid w:val="0078335E"/>
    <w:rsid w:val="007919F1"/>
    <w:rsid w:val="007A0FE9"/>
    <w:rsid w:val="007A2C8F"/>
    <w:rsid w:val="007D06DE"/>
    <w:rsid w:val="007E0997"/>
    <w:rsid w:val="007E41FA"/>
    <w:rsid w:val="007F64A4"/>
    <w:rsid w:val="008117CC"/>
    <w:rsid w:val="00823FF3"/>
    <w:rsid w:val="00824E68"/>
    <w:rsid w:val="008254DA"/>
    <w:rsid w:val="0082713E"/>
    <w:rsid w:val="008939ED"/>
    <w:rsid w:val="008C2E25"/>
    <w:rsid w:val="008D2E8D"/>
    <w:rsid w:val="008E16CB"/>
    <w:rsid w:val="008F265C"/>
    <w:rsid w:val="009001F4"/>
    <w:rsid w:val="00904E58"/>
    <w:rsid w:val="00915E48"/>
    <w:rsid w:val="00925AF2"/>
    <w:rsid w:val="00931217"/>
    <w:rsid w:val="009A27A4"/>
    <w:rsid w:val="009B513F"/>
    <w:rsid w:val="009D7322"/>
    <w:rsid w:val="00A22C5F"/>
    <w:rsid w:val="00A44E14"/>
    <w:rsid w:val="00A474DD"/>
    <w:rsid w:val="00A67999"/>
    <w:rsid w:val="00A705D8"/>
    <w:rsid w:val="00AA3FF5"/>
    <w:rsid w:val="00AF67C0"/>
    <w:rsid w:val="00B04094"/>
    <w:rsid w:val="00B10110"/>
    <w:rsid w:val="00B118E9"/>
    <w:rsid w:val="00B217B4"/>
    <w:rsid w:val="00B25940"/>
    <w:rsid w:val="00B37B5A"/>
    <w:rsid w:val="00B46472"/>
    <w:rsid w:val="00B8308D"/>
    <w:rsid w:val="00B84849"/>
    <w:rsid w:val="00B91DB1"/>
    <w:rsid w:val="00BA531D"/>
    <w:rsid w:val="00BB2B87"/>
    <w:rsid w:val="00BB3001"/>
    <w:rsid w:val="00BB7AE2"/>
    <w:rsid w:val="00BD087E"/>
    <w:rsid w:val="00BD1B9A"/>
    <w:rsid w:val="00BD505A"/>
    <w:rsid w:val="00BD64DD"/>
    <w:rsid w:val="00BE7298"/>
    <w:rsid w:val="00BF3523"/>
    <w:rsid w:val="00BF65AD"/>
    <w:rsid w:val="00C02B7A"/>
    <w:rsid w:val="00C05A4F"/>
    <w:rsid w:val="00C20511"/>
    <w:rsid w:val="00C2064F"/>
    <w:rsid w:val="00C22A07"/>
    <w:rsid w:val="00C25F4B"/>
    <w:rsid w:val="00C26842"/>
    <w:rsid w:val="00C3211E"/>
    <w:rsid w:val="00C379FF"/>
    <w:rsid w:val="00C514F8"/>
    <w:rsid w:val="00C5759D"/>
    <w:rsid w:val="00C74D96"/>
    <w:rsid w:val="00C90BDD"/>
    <w:rsid w:val="00CA183B"/>
    <w:rsid w:val="00CA1E91"/>
    <w:rsid w:val="00CB2740"/>
    <w:rsid w:val="00CC1A0A"/>
    <w:rsid w:val="00CC211B"/>
    <w:rsid w:val="00CF1785"/>
    <w:rsid w:val="00D10A8E"/>
    <w:rsid w:val="00D14C3B"/>
    <w:rsid w:val="00D25294"/>
    <w:rsid w:val="00D34055"/>
    <w:rsid w:val="00D351C8"/>
    <w:rsid w:val="00D47D80"/>
    <w:rsid w:val="00D5383D"/>
    <w:rsid w:val="00D679FC"/>
    <w:rsid w:val="00D70995"/>
    <w:rsid w:val="00D7344C"/>
    <w:rsid w:val="00D7689B"/>
    <w:rsid w:val="00DA1C5C"/>
    <w:rsid w:val="00DA5861"/>
    <w:rsid w:val="00DB053B"/>
    <w:rsid w:val="00DC03DD"/>
    <w:rsid w:val="00DC7CA8"/>
    <w:rsid w:val="00E01206"/>
    <w:rsid w:val="00E04386"/>
    <w:rsid w:val="00E20CDD"/>
    <w:rsid w:val="00E20DAF"/>
    <w:rsid w:val="00E243A5"/>
    <w:rsid w:val="00E276A0"/>
    <w:rsid w:val="00E315DC"/>
    <w:rsid w:val="00E36F56"/>
    <w:rsid w:val="00E43376"/>
    <w:rsid w:val="00E5056E"/>
    <w:rsid w:val="00E53D9B"/>
    <w:rsid w:val="00E557B2"/>
    <w:rsid w:val="00E86008"/>
    <w:rsid w:val="00E97A58"/>
    <w:rsid w:val="00EA03A0"/>
    <w:rsid w:val="00EA53BE"/>
    <w:rsid w:val="00EC7EB4"/>
    <w:rsid w:val="00ED0119"/>
    <w:rsid w:val="00ED42BB"/>
    <w:rsid w:val="00EE2C63"/>
    <w:rsid w:val="00F105A2"/>
    <w:rsid w:val="00F207E5"/>
    <w:rsid w:val="00F4184B"/>
    <w:rsid w:val="00F72746"/>
    <w:rsid w:val="00F87578"/>
    <w:rsid w:val="00FA6DE1"/>
    <w:rsid w:val="00FC1E5A"/>
    <w:rsid w:val="00FC220D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01C2"/>
  <w15:chartTrackingRefBased/>
  <w15:docId w15:val="{4B243F3B-E83F-4C56-9576-01D79F4C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A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DC7CA8"/>
    <w:rPr>
      <w:sz w:val="20"/>
      <w:szCs w:val="20"/>
    </w:rPr>
  </w:style>
  <w:style w:type="character" w:styleId="ae">
    <w:name w:val="footnote reference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1730A2"/>
    <w:rPr>
      <w:rFonts w:ascii="Cambria" w:eastAsia="Times New Roman" w:hAnsi="Cambria" w:cs="Times New Roman"/>
      <w:b/>
      <w:bCs/>
      <w:color w:val="4F81BD"/>
    </w:rPr>
  </w:style>
  <w:style w:type="paragraph" w:styleId="af2">
    <w:name w:val="Normal (Web)"/>
    <w:basedOn w:val="a"/>
    <w:uiPriority w:val="99"/>
    <w:unhideWhenUsed/>
    <w:rsid w:val="001730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E243A5"/>
    <w:rPr>
      <w:rFonts w:ascii="Times New Roman" w:hAnsi="Times New Roman" w:cs="Times New Roman" w:hint="default"/>
      <w:color w:val="0066CC"/>
      <w:u w:val="single"/>
    </w:rPr>
  </w:style>
  <w:style w:type="paragraph" w:styleId="af4">
    <w:name w:val="header"/>
    <w:basedOn w:val="a"/>
    <w:link w:val="af5"/>
    <w:uiPriority w:val="99"/>
    <w:unhideWhenUsed/>
    <w:rsid w:val="00E9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97A58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E9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97A58"/>
    <w:rPr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E97A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A0DF-B43D-414A-B41F-D502BE80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Links>
    <vt:vector size="48" baseType="variant">
      <vt:variant>
        <vt:i4>393264</vt:i4>
      </vt:variant>
      <vt:variant>
        <vt:i4>21</vt:i4>
      </vt:variant>
      <vt:variant>
        <vt:i4>0</vt:i4>
      </vt:variant>
      <vt:variant>
        <vt:i4>5</vt:i4>
      </vt:variant>
      <vt:variant>
        <vt:lpwstr>mailto:cok@pskovenergo.ru</vt:lpwstr>
      </vt:variant>
      <vt:variant>
        <vt:lpwstr/>
      </vt:variant>
      <vt:variant>
        <vt:i4>4849774</vt:i4>
      </vt:variant>
      <vt:variant>
        <vt:i4>18</vt:i4>
      </vt:variant>
      <vt:variant>
        <vt:i4>0</vt:i4>
      </vt:variant>
      <vt:variant>
        <vt:i4>5</vt:i4>
      </vt:variant>
      <vt:variant>
        <vt:lpwstr>mailto:KonshinaTA@novgorodenergo.ru</vt:lpwstr>
      </vt:variant>
      <vt:variant>
        <vt:lpwstr/>
      </vt:variant>
      <vt:variant>
        <vt:i4>6881308</vt:i4>
      </vt:variant>
      <vt:variant>
        <vt:i4>15</vt:i4>
      </vt:variant>
      <vt:variant>
        <vt:i4>0</vt:i4>
      </vt:variant>
      <vt:variant>
        <vt:i4>5</vt:i4>
      </vt:variant>
      <vt:variant>
        <vt:lpwstr>mailto:komi@rosseti-sz.ru</vt:lpwstr>
      </vt:variant>
      <vt:variant>
        <vt:lpwstr/>
      </vt:variant>
      <vt:variant>
        <vt:i4>1376353</vt:i4>
      </vt:variant>
      <vt:variant>
        <vt:i4>12</vt:i4>
      </vt:variant>
      <vt:variant>
        <vt:i4>0</vt:i4>
      </vt:variant>
      <vt:variant>
        <vt:i4>5</vt:i4>
      </vt:variant>
      <vt:variant>
        <vt:lpwstr>mailto:kontakt-tp@kolenergo.ru</vt:lpwstr>
      </vt:variant>
      <vt:variant>
        <vt:lpwstr/>
      </vt:variant>
      <vt:variant>
        <vt:i4>65594</vt:i4>
      </vt:variant>
      <vt:variant>
        <vt:i4>9</vt:i4>
      </vt:variant>
      <vt:variant>
        <vt:i4>0</vt:i4>
      </vt:variant>
      <vt:variant>
        <vt:i4>5</vt:i4>
      </vt:variant>
      <vt:variant>
        <vt:lpwstr>mailto:clients@karelenergo.ru</vt:lpwstr>
      </vt:variant>
      <vt:variant>
        <vt:lpwstr/>
      </vt:variant>
      <vt:variant>
        <vt:i4>3014728</vt:i4>
      </vt:variant>
      <vt:variant>
        <vt:i4>6</vt:i4>
      </vt:variant>
      <vt:variant>
        <vt:i4>0</vt:i4>
      </vt:variant>
      <vt:variant>
        <vt:i4>5</vt:i4>
      </vt:variant>
      <vt:variant>
        <vt:lpwstr>mailto:MVorobyeva@cs.vologdaenergo.ru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mailto:abuev@vs.vologdaenergo.ru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mailto:astafyeva@arhen.ru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Куличкова Светлана Викторовна</dc:creator>
  <cp:keywords/>
  <cp:lastModifiedBy>Afanasiev Evgeniy</cp:lastModifiedBy>
  <cp:revision>7</cp:revision>
  <cp:lastPrinted>2014-08-01T09:40:00Z</cp:lastPrinted>
  <dcterms:created xsi:type="dcterms:W3CDTF">2026-03-13T02:15:00Z</dcterms:created>
  <dcterms:modified xsi:type="dcterms:W3CDTF">2026-03-13T05:55:00Z</dcterms:modified>
</cp:coreProperties>
</file>